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“珠城记忆——蚌埠历史文化陈列展”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提升改造方案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eastAsia="zh-CN"/>
        </w:rPr>
        <w:t>“珠城记忆——蚌埠历史文化陈列展”于</w:t>
      </w:r>
      <w:r>
        <w:rPr>
          <w:rFonts w:hint="eastAsia" w:ascii="仿宋_GB2312" w:hAnsi="仿宋_GB2312" w:eastAsia="仿宋_GB2312" w:cs="仿宋_GB2312"/>
          <w:sz w:val="32"/>
          <w:szCs w:val="32"/>
          <w:lang w:val="en-US" w:eastAsia="zh-CN"/>
        </w:rPr>
        <w:t>2015年建成并对外开放，</w:t>
      </w:r>
      <w:r>
        <w:rPr>
          <w:rFonts w:hint="eastAsia" w:ascii="仿宋_GB2312" w:hAnsi="仿宋_GB2312" w:eastAsia="仿宋_GB2312" w:cs="仿宋_GB2312"/>
          <w:sz w:val="32"/>
          <w:szCs w:val="32"/>
          <w:vertAlign w:val="baseline"/>
          <w:lang w:val="en-US" w:eastAsia="zh-CN"/>
        </w:rPr>
        <w:t>每年约有万人次的干部群众、青少年学生来馆参观、学习、交流。先后被授予解放军装甲兵学院、安徽财经大学的教学实践基地、全市中小学研旅基地、经开区未成人爱国主义教育基地、蚌埠党员干部党史教育基地等称号。但随着经济社会发展，部分展品发生变化，亟需更新完善，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一、总体设想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根据《中共中央关于党的百年奋斗重大成就和历史经验的决议》表述新民主主义革命、社会主义革命和建设、改革开放和社会主义现代化建设、中国特色社会主义新时代4个分期，结合原《珠城记忆》4个展厅分布，拟对第一、二、三展厅进行微调，压缩第四展厅“跨越发展”内容，增加第五展厅“智链淮枢”（暂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二、展陈纲要</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bookmarkStart w:id="0" w:name="_GoBack"/>
      <w:bookmarkEnd w:id="0"/>
      <w:r>
        <w:rPr>
          <w:rFonts w:hint="eastAsia" w:ascii="黑体" w:hAnsi="黑体" w:eastAsia="黑体"/>
          <w:sz w:val="32"/>
          <w:szCs w:val="32"/>
        </w:rPr>
        <w:t>第四展厅：跨越发展</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textAlignment w:val="auto"/>
        <w:rPr>
          <w:rFonts w:hint="eastAsia" w:ascii="仿宋_GB2312" w:hAnsi="仿宋" w:eastAsia="仿宋_GB2312"/>
          <w:sz w:val="32"/>
          <w:szCs w:val="32"/>
        </w:rPr>
      </w:pPr>
      <w:r>
        <w:rPr>
          <w:rFonts w:hint="eastAsia" w:ascii="仿宋_GB2312" w:hAnsi="仿宋" w:eastAsia="仿宋_GB2312"/>
          <w:sz w:val="32"/>
          <w:szCs w:val="32"/>
          <w:lang w:eastAsia="zh-CN"/>
        </w:rPr>
        <w:t>解说：</w:t>
      </w:r>
      <w:r>
        <w:rPr>
          <w:rFonts w:hint="eastAsia" w:ascii="仿宋_GB2312" w:hAnsi="仿宋" w:eastAsia="仿宋_GB2312"/>
          <w:sz w:val="32"/>
          <w:szCs w:val="32"/>
        </w:rPr>
        <w:t>本展厅主要展示党的十一届三中全会以来，蚌埠坚持以经济建设为中心，解放思想，勇于探索，坚定不移地推进改革和扩大开放，经济社会取得巨大变化的辉煌历程。内容主要包括：从农村改革到城市改革，从经济体制改革到各方面改革，从对内搞活到对外开放，在经济建设、文化建设、社会建设和生态文明建设等各方面取得的巨大成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工业</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textAlignment w:val="auto"/>
        <w:rPr>
          <w:rFonts w:hint="eastAsia" w:ascii="仿宋_GB2312" w:hAnsi="仿宋" w:eastAsia="仿宋_GB2312"/>
          <w:sz w:val="32"/>
          <w:szCs w:val="32"/>
        </w:rPr>
      </w:pPr>
      <w:r>
        <w:rPr>
          <w:rFonts w:hint="eastAsia" w:ascii="仿宋_GB2312" w:hAnsi="仿宋" w:eastAsia="仿宋_GB2312"/>
          <w:sz w:val="32"/>
          <w:szCs w:val="32"/>
          <w:lang w:eastAsia="zh-CN"/>
        </w:rPr>
        <w:t>解说：</w:t>
      </w:r>
      <w:r>
        <w:rPr>
          <w:rFonts w:hint="eastAsia" w:ascii="仿宋_GB2312" w:hAnsi="仿宋" w:eastAsia="仿宋_GB2312"/>
          <w:sz w:val="32"/>
          <w:szCs w:val="32"/>
        </w:rPr>
        <w:t>党的十一届三中全会以后，蚌埠这个安徽的老工业基地重新焕发出青春和活力。随着工业结构由传统轻工业向重化工业转变，主导产业地位进一步凸显，产业集中度增强，传统产业得到改造提升，高新技术产业比重不断提升。尤其是2001年市委、市政府实施“工业强市”战略以来，蚌埠着力培育骨干工业企业，提高企业自主创新能力，打造工业园区平台，壮大优势产业规模，提升工业经济总量和竞争力，蚌埠工业发展驶上了快车道。</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展示内容：</w:t>
      </w:r>
      <w:r>
        <w:rPr>
          <w:rFonts w:hint="eastAsia" w:ascii="仿宋_GB2312" w:hAnsi="仿宋" w:eastAsia="仿宋_GB2312"/>
          <w:sz w:val="32"/>
          <w:szCs w:val="32"/>
          <w:lang w:val="en-US" w:eastAsia="zh-CN"/>
        </w:rPr>
        <w:t>（按原内容适当删减）</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电子信息</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机械制造</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生物化学</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新能源新材料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农业</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627" w:firstLineChars="196"/>
        <w:textAlignment w:val="auto"/>
        <w:rPr>
          <w:rFonts w:hint="eastAsia" w:ascii="仿宋_GB2312" w:hAnsi="仿宋" w:eastAsia="仿宋_GB2312"/>
          <w:kern w:val="0"/>
          <w:sz w:val="32"/>
          <w:szCs w:val="32"/>
        </w:rPr>
      </w:pPr>
      <w:r>
        <w:rPr>
          <w:rFonts w:hint="eastAsia" w:ascii="仿宋_GB2312" w:hAnsi="仿宋" w:eastAsia="仿宋_GB2312"/>
          <w:kern w:val="0"/>
          <w:sz w:val="32"/>
          <w:szCs w:val="32"/>
          <w:lang w:eastAsia="zh-CN"/>
        </w:rPr>
        <w:t>解说：</w:t>
      </w:r>
      <w:r>
        <w:rPr>
          <w:rFonts w:hint="eastAsia" w:ascii="仿宋_GB2312" w:hAnsi="仿宋" w:eastAsia="仿宋_GB2312"/>
          <w:kern w:val="0"/>
          <w:sz w:val="32"/>
          <w:szCs w:val="32"/>
        </w:rPr>
        <w:t>改革开放以来，蚌埠农村以改革为动力，以建立社会主义市场经济体制为目标，大力调整优化农业和农村经济结构，提高农业生产水平，实施农业综合开发，开展农业产业化经营，建立农业社会化服务体系，推进社会主义新农村建设步伐，农村面貌发生巨大变化，农民生活得到切实改善。</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展示内容：</w:t>
      </w:r>
      <w:r>
        <w:rPr>
          <w:rFonts w:hint="eastAsia" w:ascii="仿宋_GB2312" w:hAnsi="仿宋" w:eastAsia="仿宋_GB2312"/>
          <w:sz w:val="32"/>
          <w:szCs w:val="32"/>
          <w:lang w:val="en-US" w:eastAsia="zh-CN"/>
        </w:rPr>
        <w:t>（按原内容适当删减）</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农业</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农村</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农民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商贸</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27" w:firstLineChars="196"/>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解说：</w:t>
      </w:r>
      <w:r>
        <w:rPr>
          <w:rFonts w:hint="eastAsia" w:ascii="仿宋_GB2312" w:hAnsi="仿宋" w:eastAsia="仿宋_GB2312"/>
          <w:sz w:val="32"/>
          <w:szCs w:val="32"/>
        </w:rPr>
        <w:t>党的十一届三中全会后，通过改革流通体制，促进了商贸业的新发展，蚌埠商贸业进入新的发展时期。随着商贸经营规模不断扩大，社会消费零售总额逐年增加，给蚌埠这个商贸重镇注入了新的活力。</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展示内容：（按原内容适当删减）</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1.商场</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2.物流</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3.饮服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城市建设</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576"/>
        <w:textAlignment w:val="auto"/>
        <w:rPr>
          <w:rFonts w:hint="eastAsia" w:ascii="仿宋_GB2312" w:hAnsi="仿宋" w:eastAsia="仿宋_GB2312"/>
          <w:sz w:val="32"/>
          <w:szCs w:val="32"/>
        </w:rPr>
      </w:pPr>
      <w:r>
        <w:rPr>
          <w:rFonts w:hint="eastAsia" w:ascii="仿宋_GB2312" w:hAnsi="仿宋" w:eastAsia="仿宋_GB2312"/>
          <w:sz w:val="32"/>
          <w:szCs w:val="32"/>
          <w:lang w:eastAsia="zh-CN"/>
        </w:rPr>
        <w:t>解说：</w:t>
      </w:r>
      <w:r>
        <w:rPr>
          <w:rFonts w:hint="eastAsia" w:ascii="仿宋_GB2312" w:hAnsi="仿宋" w:eastAsia="仿宋_GB2312"/>
          <w:sz w:val="32"/>
          <w:szCs w:val="32"/>
        </w:rPr>
        <w:t>伴随改革开放的春风，蚌埠迈进新的历史发展时期，2010年跨入“双百”城市行列。按照“引河入城、拥河发展、环湖集聚、显山露水”思路，构筑一心多极的空间结构和“一河、三湖、多廊道”的山水城市格局，努力把蚌埠建成建设天蓝、地绿、水净的区域性特大中心城市，早日共圆“明珠复兴”之梦。</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展示内容：</w:t>
      </w:r>
      <w:r>
        <w:rPr>
          <w:rFonts w:hint="eastAsia" w:ascii="仿宋_GB2312" w:hAnsi="仿宋" w:eastAsia="仿宋_GB2312"/>
          <w:sz w:val="32"/>
          <w:szCs w:val="32"/>
          <w:lang w:val="en-US" w:eastAsia="zh-CN"/>
        </w:rPr>
        <w:t>（按原内容适当删减，其中新旧对比全部删除）</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广场</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公园</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公路</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铁路</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港口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科技教育</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改革开放以来，蚌埠市科教事业历经发展、壮大、繁荣过程，科技体制改革不断深化，高等教育和职业教育方兴未艾。近年来，结合“合芜蚌自主创新综合改革试验区”建设，积极推进科技创新，实施“人才金港”、“孔雀计划”等，为蚌埠经济社会实现大发展、大跨越奠定了坚实基础，也为创建皖北科教中心创造了条件。</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展示内容：</w:t>
      </w:r>
      <w:r>
        <w:rPr>
          <w:rFonts w:hint="eastAsia" w:ascii="仿宋_GB2312" w:hAnsi="仿宋" w:eastAsia="仿宋_GB2312"/>
          <w:sz w:val="32"/>
          <w:szCs w:val="32"/>
          <w:lang w:val="en-US" w:eastAsia="zh-CN"/>
        </w:rPr>
        <w:t>（按原内容适当删减）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文化体育</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改革开放以来，蚌埠文化事业快速发展，文化品牌、艺术生产取得新成就，文化遗产保护开创新局面，文化市场、文化设施建设取得新突破。新世纪伊始，围绕“提升城市文化软实力，建设文化强市”、“提升大文化”战略部署，文化产业得到迅猛发展，文化体制改革向纵深推进，文艺精品创作佳作迭出，奏响了文化强市的奋进强音。</w:t>
      </w:r>
    </w:p>
    <w:p>
      <w:pPr>
        <w:keepNext w:val="0"/>
        <w:keepLines w:val="0"/>
        <w:pageBreakBefore w:val="0"/>
        <w:widowControl w:val="0"/>
        <w:tabs>
          <w:tab w:val="left" w:pos="360"/>
          <w:tab w:val="left" w:pos="540"/>
          <w:tab w:val="left" w:pos="720"/>
          <w:tab w:val="left" w:pos="3216"/>
        </w:tabs>
        <w:kinsoku/>
        <w:wordWrap/>
        <w:overflowPunct/>
        <w:topLinePunct w:val="0"/>
        <w:autoSpaceDE/>
        <w:autoSpaceDN/>
        <w:bidi w:val="0"/>
        <w:adjustRightInd/>
        <w:snapToGrid/>
        <w:spacing w:line="560" w:lineRule="exact"/>
        <w:ind w:firstLine="57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展示内容：</w:t>
      </w:r>
      <w:r>
        <w:rPr>
          <w:rFonts w:hint="eastAsia" w:ascii="仿宋_GB2312" w:hAnsi="仿宋" w:eastAsia="仿宋_GB2312"/>
          <w:sz w:val="32"/>
          <w:szCs w:val="32"/>
          <w:lang w:val="en-US" w:eastAsia="zh-CN"/>
        </w:rPr>
        <w:t>（按原内容适当删减）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社会和谐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展示内容：</w:t>
      </w:r>
      <w:r>
        <w:rPr>
          <w:rFonts w:hint="eastAsia" w:ascii="仿宋_GB2312" w:hAnsi="仿宋" w:eastAsia="仿宋_GB2312"/>
          <w:sz w:val="32"/>
          <w:szCs w:val="32"/>
          <w:lang w:val="en-US" w:eastAsia="zh-CN"/>
        </w:rPr>
        <w:t>（按原内容适当删减）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第五展厅：智链淮枢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解说：本展厅主要展示党的十八大以来，在以习近平同志为核心的党中央坚强领导下，蚌埠全面深入贯彻创新、协调、绿色、开放、共享的发展理念，大力实施产业强市、创新驱动、城乡统筹、开放带动、民生优先等战略，致力建设“创新之城、材料之都、制造高地、幸福蚌埠”，奋力开创建设淮河流域和皖北地区中心城市新局面，经济社会取得巨大变化的辉煌历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解说：党的十八大以来，我市地区生产总值由859.22亿元，2019年成功迈上2000亿元关口，2024年达到2313亿元，年均增长7%。人均地区生产总值超6万元，排名全省第5位。产业结构持续优化，二、三产业占比提高3.6个百分点。战略性新兴产业产值、高新技术产业增加值年均增长22.6%、16.1%，硅基新材料、生物基新材料成为“产业新地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展示内容：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1.2012-2024年地区GDP柱状图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2.2012年与2024年一、二、三产业占比对比图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解说：十八大以来，我市深入实施创新驱动战略，合芜蚌国家自主创新示范区和省、市“一室一中心”建设加快推进。创新驱动、数字赋能成效显著，获批建设国家创新型城市，玻璃新材料国家制造业创新中心获批组建。四获国家科技进步一、二等奖，两获中国工业大奖，创新发展实现重大进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展示内容：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1.自主研发的0.12 毫米世界最薄玻璃（图片、实物）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2.全国首片完全自主知识产权8.6代TFT-LCD玻璃基板下线（图片、实物）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3.成功研发的430 毫米类石墨烯高导热膜刷新世界纪录（图片、实物）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4.30μm柔性可折叠玻璃启动工业化生产（图片、实物）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5.显示玻璃相关产品（实物）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6.丰原年产5万吨聚乳酸项目产品成功下线（图片、实物）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7.聚乳酸相关产品（北京冬奥会产品实物）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8.采用大富产机械臂方式展示大富科技产品（实物）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9.40、41所产品展示（实物）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10.214所MEMS智能传感器产品展示（实物）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11.成功举办国际新材料产业大会（图片）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12.康宁玻璃建成投产（图片）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解说：党的十八大以来，我市区面积由601.5平方公里扩大至956.9平方公里，市区建成区面积达138平方公里、常住人口130万人，“三环六轴三带”城市发展框架基本形成，协调发展实现重大进步。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展示内容：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1.成功入选国家物流枢纽承载城市（实物仿制）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2.长淮卫淮河大桥建成通车（图片）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3.体育中心建成投入使用（图片）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4.外迁水蚌线正式通车（图片）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5.蚌埠市民用机场开工（图片）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6.中环线基本贯通（图片）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7.蚌五高速建成通车（图片）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8.西部化工企业外迁完成（新旧对比图片）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9.改造棚户区、城中村137个，7.13万户居民实现“安居梦”（新旧对比图片）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10.美丽乡村建设成交显著（省级美丽乡村图片若干）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绿色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解说：党的十八以来，我市持续推进国家生态文明先行示范区建设，推深做实林长制、河湖长制改革，探索建立淮河流域水污染联防联控机制，生态文明体制改革稳步推进，绿色发展实现重大进步。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1.全国水生态文明城市（实物仿制）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2.大洪山生态修复基本完成（图片）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3.龙子湖综合治理取得新进展（图片）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4.市生活垃圾焚烧发电厂建成投入使用（图片）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5.第一污水处理厂建成投入使用（图片）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6.怀远光大生物质发电厂建成投入使用（图片）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7.五河秸秆生物质发电厂建成投入使用（图片）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8.三汊河国家湿地公园对外开放（图片）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9.张公山公园改造完成（图片）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10.淮河闸湿地公园建成对外开放（图片）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开放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解说：党的十八大以来，我市市域整体纳入长三角一体化、合肥都市圈，淮河生态经济带上升为国家战略。皖北承接产业转移集聚区获国家政策支持，市高新区获批全省首批省际产业合作园区。中国（安徽）自由贸易试验区蚌埠片区正式挂牌，开放发展实现重大进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展示内容：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1.长三角一体化（文件仿制）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2.合肥都市圈（文件仿制）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3.淮河生态经济带（文件仿制）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4.中原经济区（文件仿制）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5.中国（安徽）自由贸易试验区蚌埠片区挂牌（图片）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6.“蚌西欧”班列成功首开（图片）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7.全省唯一国家市场采购贸易方式试点落户蚌埠中恒（图片）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8.建成启用淮河安徽段首个二类水运口岸，开辟淮河干流首条外贸航线（图片）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9.第十四届安徽省运动会在蚌埠成功举办（图片）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10.淮河生态经济带第2次省际联席会和城市合作市长会商会在蚌埠成功举办（图片）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11.中国蚌埠古民居博览园被确定为太湖世界文化论坛年会永久会址（第六届年会图片）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解说：党的十八大以来，我市新时代脱贫攻坚目标任务如期完成。怀远县如期摘帽。城乡居民人均可支配收入年均增速分别为8%、9%，超过经济增速。城镇新增就业35万人。城乡低保、社会保险、特困供养、最低工资、住房公积金等全部提标扩面，城乡居民医疗保险参保率达99%以上，共享发展实现重大进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展示内容：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1.安徽财经大学、蚌埠医学院、安徽科技学院、蚌埠学院、蚌埠工商学院、安徽电子信息职业技术学院、安徽科技贸易学校等驻蚌埠高校（图片）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2.新建扩建蚌埠二中、北大培文、北师大附中、职教园区、蚌埠六中汤和路校区等（图片）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3.新建扩建蚌医一附院、二附院、市一院、二院、三院、四院、五院、中医院、疾控中心等（图片）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4.禹会村遗址公园开工建设（图片）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5.双墩遗址公园开工建设（图片）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6.《大禹》《石榴花开》连续斩获中国舞蹈最高奖—荷花奖（剧照）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7.部分新时代文明实践中心（图片）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8.部分农家书屋（图片）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9.市各级图书馆（图片）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10.市各级文化馆（图片）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全面深化改革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解说：党的十八大以来，我市供给侧结构性改革、“放管服”、“全创改”、农业农村、编制周转池、政府权责清单、公共资源交易、医药卫生等重点领域改革取得新突破，治理体系和治理能力现代化加快推进，深化改革实现重大进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展示内容：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1.蚌埠市人民政府关于进一步创优“四最”营商环境的实施意见（文件复制）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2.“四最”一张网公共服务平台（图片、获奖）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3.蚌埠市人民政府办公室关于印发《蚌埠市深化商事制度改革推行“一照通”工作实施意见》的通知（文件复制）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4.深化商事制度改革（图片）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5.“一户一块田”改革（文件复制、图片、获奖）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6.“农粮驿站”电商扶贫等改革（图片）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全面从严治党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解说：党的十八大以来，按照党中央、省委部署，市委先后开展“两学一做”“不忘初心、牢记使命”“党史学习教育”“讲政治、重规矩、作表率”“讲忠诚、严纪律、立政德”“三个以案”系列警示教育活动等，干部队伍建设扎实推进，创新开展党内政治监督谈话，整治形式主义官僚主义行动扎实开展，党风廉政建设成效显著，不敢腐、不能腐、不愿腐体制机制建设一体推进，全面从严治党实现重大进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展示内容：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1.开展“两学一做”学习教育（图片）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2.开展“不忘初心、牢记使命”学习教育（市委理论中习组参观图片）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3.开展党史学习教育（市委理论中习组参观图片）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4.开展“讲政治、重规矩、作表率”教育（图片）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5.开展“讲忠诚、严纪律、立政德”教育（图片）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6.“三个以案”系列警示教育（图片）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7.开展党纪学习教育（图片）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8.开展深入贯彻中央八项规定精神学习教育（图片）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9.巡察全覆盖（图片）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10.廉政谈话（图片）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11.出台制度（文件复制）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解说：党的十八以来，蚌埠全市上下在缔造功能完善、生态宜居、特色明显、生活美满的幸福家园，实现经济现代化、基础设施与公共服务现代化、人的现代化同步发展，深度融入区域经济、科技、文化发展，不断满足人民日益增长的美好生活需要等方面取得了突出成就，谱写了在困境中奋进、在转型中发展的壮丽篇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城市名片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展示内容：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1.全国文明城市（实物仿制）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2.双拥模范城市（实物仿制）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3.国家卫生城市（实物仿制）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4.国家园林城市（实物仿制）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5.国家生态文明先行示范区（实物仿制）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6.国家公共文化服务体系示范区（实物仿制）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7.国家食品安全示范市（实物仿制）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8.全国电子商务与物流快递协同发展试点城市（实物仿制）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9.国家物流枢纽承载城市（实物仿制）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10.国家节水型城市（实物仿制）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11.国家特色型信息消费示范城市（实物仿制）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12.全国电商百佳城市（实物仿制）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13.全国市域社会治理现代化试点城市（实物仿制）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14.国家平安建设先进市（实物仿制）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560" w:lineRule="exact"/>
        <w:jc w:val="center"/>
        <w:textAlignment w:val="auto"/>
        <w:rPr>
          <w:rFonts w:hint="eastAsia" w:ascii="黑体" w:hAnsi="黑体" w:eastAsia="黑体"/>
          <w:sz w:val="36"/>
          <w:szCs w:val="36"/>
        </w:rPr>
      </w:pPr>
      <w:r>
        <w:rPr>
          <w:rFonts w:hint="eastAsia" w:ascii="黑体" w:hAnsi="黑体" w:eastAsia="黑体"/>
          <w:sz w:val="36"/>
          <w:szCs w:val="36"/>
        </w:rPr>
        <w:t>结束语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拂去历史的尘埃，我们看到了昨日的辉煌，掀开新的一页，我们正书写着新的篇章。</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我们正处在一个伟大的变革时代，改革开放使蚌埠这座古老而又年轻的城市发生了翻天覆地的变化，实现了辉煌的历史跨越；重振雄风，再创辉煌，更让我们满怀豪情放飞新的希望。新的历史发展时期，不仅给予蚌埠的是挑战，更多的是机遇。发展犹如“逆水行舟，不进则退”。历史如镜，鉴往知今，富有光荣革命传统和创新精神的蚌埠人民曾在这片热土上谱写过无数可歌可泣的英雄乐章，在</w:t>
      </w:r>
      <w:r>
        <w:rPr>
          <w:rFonts w:hint="eastAsia" w:ascii="仿宋_GB2312" w:hAnsi="仿宋" w:eastAsia="仿宋_GB2312"/>
          <w:sz w:val="32"/>
          <w:szCs w:val="32"/>
          <w:lang w:eastAsia="zh-CN"/>
        </w:rPr>
        <w:t>加快建设“三地一区”两中心</w:t>
      </w:r>
      <w:r>
        <w:rPr>
          <w:rFonts w:hint="eastAsia" w:ascii="仿宋_GB2312" w:hAnsi="仿宋" w:eastAsia="仿宋_GB2312"/>
          <w:sz w:val="32"/>
          <w:szCs w:val="32"/>
        </w:rPr>
        <w:t>的征程上，让我们继续秉承改革开放精髓，进一步弘扬“禹风厚德，孕沙成珠，务实开放，创业争先”的城市精神，为全面推进蚌埠跨越发展，实现复兴之梦续写新的壮丽篇章。</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N2UyYmFmYWU1OWM4YjhlYjk1MmMxZmNlZjgwMDgifQ=="/>
  </w:docVars>
  <w:rsids>
    <w:rsidRoot w:val="4E0F43CD"/>
    <w:rsid w:val="0AC6152A"/>
    <w:rsid w:val="1AA59EDD"/>
    <w:rsid w:val="3A6FA20E"/>
    <w:rsid w:val="47EA24AF"/>
    <w:rsid w:val="4E0F43CD"/>
    <w:rsid w:val="57EF3131"/>
    <w:rsid w:val="5EDAF0BC"/>
    <w:rsid w:val="5F941F02"/>
    <w:rsid w:val="64F9562B"/>
    <w:rsid w:val="671069C6"/>
    <w:rsid w:val="67471A6E"/>
    <w:rsid w:val="685229B6"/>
    <w:rsid w:val="6E8F6D71"/>
    <w:rsid w:val="6F335F96"/>
    <w:rsid w:val="7F7F05FC"/>
    <w:rsid w:val="7F914E30"/>
    <w:rsid w:val="AFFE3311"/>
    <w:rsid w:val="BAF5DB4A"/>
    <w:rsid w:val="CDF72B51"/>
    <w:rsid w:val="EDBF5E18"/>
    <w:rsid w:val="FB6B5749"/>
    <w:rsid w:val="FBEFBB8F"/>
    <w:rsid w:val="FEE8DD8A"/>
    <w:rsid w:val="FFED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4891</Words>
  <Characters>5106</Characters>
  <Lines>0</Lines>
  <Paragraphs>0</Paragraphs>
  <TotalTime>7</TotalTime>
  <ScaleCrop>false</ScaleCrop>
  <LinksUpToDate>false</LinksUpToDate>
  <CharactersWithSpaces>5108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2021-09-17T08:08:00Z</dcterms:created>
  <dc:creator>张在兵</dc:creator>
  <cp:lastModifiedBy>uos</cp:lastModifiedBy>
  <cp:lastPrinted>2022-02-11T16:38:00Z</cp:lastPrinted>
  <dcterms:modified xsi:type="dcterms:W3CDTF">2025-06-03T09:30:44Z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AD181B1768B5466D8C3B51B8F0B13B13_13</vt:lpwstr>
  </property>
  <property fmtid="{D5CDD505-2E9C-101B-9397-08002B2CF9AE}" pid="4" name="KSOTemplateDocerSaveRecord">
    <vt:lpwstr>eyJoZGlkIjoiNTE0MjAxN2Y3MjExY2MzNTI0YjhmOGIwMGJlYWFlNTMiLCJ1c2VySWQiOiIyMDg5MTE3ODIifQ==</vt:lpwstr>
  </property>
</Properties>
</file>